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2227"/>
        <w:gridCol w:w="2126"/>
        <w:gridCol w:w="2278"/>
        <w:gridCol w:w="2252"/>
      </w:tblGrid>
      <w:tr w:rsidR="00AB1B11" w:rsidRPr="00AB1B11" w:rsidTr="00437991">
        <w:tc>
          <w:tcPr>
            <w:tcW w:w="9345" w:type="dxa"/>
            <w:gridSpan w:val="5"/>
          </w:tcPr>
          <w:p w:rsidR="00AB1B11" w:rsidRPr="00AB1B11" w:rsidRDefault="00AB1B11">
            <w:pPr>
              <w:rPr>
                <w:rFonts w:ascii="Arial" w:hAnsi="Arial" w:cs="Arial"/>
                <w:b/>
              </w:rPr>
            </w:pPr>
            <w:r w:rsidRPr="00AB1B11">
              <w:rPr>
                <w:rFonts w:ascii="Arial" w:hAnsi="Arial" w:cs="Arial"/>
                <w:b/>
              </w:rPr>
              <w:t>Таблица технических характеристик</w:t>
            </w:r>
            <w:r w:rsidRPr="00AB1B1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B1B11" w:rsidTr="00AB1B11">
        <w:tc>
          <w:tcPr>
            <w:tcW w:w="4815" w:type="dxa"/>
            <w:gridSpan w:val="3"/>
          </w:tcPr>
          <w:p w:rsidR="00AB1B11" w:rsidRDefault="00AB1B11">
            <w:r w:rsidRPr="00AB1B11">
              <w:rPr>
                <w:rFonts w:ascii="Arial" w:hAnsi="Arial" w:cs="Arial"/>
                <w:b/>
              </w:rPr>
              <w:t>Минимальные требования</w:t>
            </w:r>
          </w:p>
        </w:tc>
        <w:tc>
          <w:tcPr>
            <w:tcW w:w="4530" w:type="dxa"/>
            <w:gridSpan w:val="2"/>
          </w:tcPr>
          <w:p w:rsidR="00AB1B11" w:rsidRDefault="00AB1B11" w:rsidP="00AB1B11">
            <w:r w:rsidRPr="00AB1B11">
              <w:rPr>
                <w:rFonts w:ascii="Arial" w:hAnsi="Arial" w:cs="Arial"/>
                <w:b/>
              </w:rPr>
              <w:t>Предл</w:t>
            </w:r>
            <w:r>
              <w:rPr>
                <w:rFonts w:ascii="Arial" w:hAnsi="Arial" w:cs="Arial"/>
                <w:b/>
              </w:rPr>
              <w:t xml:space="preserve">ожение </w:t>
            </w:r>
            <w:r w:rsidRPr="00AB1B11">
              <w:rPr>
                <w:rFonts w:ascii="Arial" w:hAnsi="Arial" w:cs="Arial"/>
                <w:b/>
              </w:rPr>
              <w:t>участник</w:t>
            </w:r>
            <w:r>
              <w:rPr>
                <w:rFonts w:ascii="Arial" w:hAnsi="Arial" w:cs="Arial"/>
                <w:b/>
              </w:rPr>
              <w:t>а конкурса</w:t>
            </w:r>
          </w:p>
        </w:tc>
      </w:tr>
      <w:tr w:rsidR="00AB1B11" w:rsidRPr="00AB1B11" w:rsidTr="00AB1B11">
        <w:tc>
          <w:tcPr>
            <w:tcW w:w="462" w:type="dxa"/>
          </w:tcPr>
          <w:p w:rsidR="00AB1B11" w:rsidRPr="00AB1B11" w:rsidRDefault="00AB1B11">
            <w:pPr>
              <w:rPr>
                <w:rFonts w:ascii="Arial" w:hAnsi="Arial" w:cs="Arial"/>
                <w:b/>
              </w:rPr>
            </w:pPr>
            <w:r w:rsidRPr="00AB1B11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227" w:type="dxa"/>
          </w:tcPr>
          <w:p w:rsidR="00AB1B11" w:rsidRPr="00AB1B11" w:rsidRDefault="00AB1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126" w:type="dxa"/>
          </w:tcPr>
          <w:p w:rsidR="00AB1B11" w:rsidRPr="00AB1B11" w:rsidRDefault="00AB1B11">
            <w:pPr>
              <w:rPr>
                <w:rFonts w:ascii="Arial" w:hAnsi="Arial" w:cs="Arial"/>
                <w:b/>
              </w:rPr>
            </w:pPr>
            <w:r w:rsidRPr="00AB1B11">
              <w:rPr>
                <w:rFonts w:ascii="Arial" w:hAnsi="Arial" w:cs="Arial"/>
                <w:b/>
              </w:rPr>
              <w:t>описание</w:t>
            </w:r>
          </w:p>
        </w:tc>
        <w:tc>
          <w:tcPr>
            <w:tcW w:w="2278" w:type="dxa"/>
          </w:tcPr>
          <w:p w:rsidR="00AB1B11" w:rsidRPr="00AB1B11" w:rsidRDefault="00AB1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Наименование </w:t>
            </w:r>
          </w:p>
        </w:tc>
        <w:tc>
          <w:tcPr>
            <w:tcW w:w="2252" w:type="dxa"/>
          </w:tcPr>
          <w:p w:rsidR="00AB1B11" w:rsidRPr="00AB1B11" w:rsidRDefault="00AB1B11">
            <w:pPr>
              <w:rPr>
                <w:rFonts w:ascii="Arial" w:hAnsi="Arial" w:cs="Arial"/>
                <w:b/>
              </w:rPr>
            </w:pPr>
            <w:r w:rsidRPr="00AB1B11">
              <w:rPr>
                <w:rFonts w:ascii="Arial" w:hAnsi="Arial" w:cs="Arial"/>
                <w:b/>
              </w:rPr>
              <w:t>описание</w:t>
            </w:r>
          </w:p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 xml:space="preserve">Система должна позволять создавать </w:t>
            </w:r>
            <w:proofErr w:type="spellStart"/>
            <w:r w:rsidRPr="002563FA">
              <w:rPr>
                <w:rFonts w:ascii="Times New Roman" w:hAnsi="Times New Roman" w:cs="Times New Roman"/>
              </w:rPr>
              <w:t>эмитентские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мобильные платёжные кошельки</w:t>
            </w:r>
          </w:p>
        </w:tc>
        <w:tc>
          <w:tcPr>
            <w:tcW w:w="2126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на базе технологии HCE</w:t>
            </w:r>
            <w:bookmarkStart w:id="0" w:name="_GoBack"/>
            <w:bookmarkEnd w:id="0"/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2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Система должна поддерживать возможность оплаты через OEM-кошельки</w:t>
            </w:r>
          </w:p>
        </w:tc>
        <w:tc>
          <w:tcPr>
            <w:tcW w:w="2126" w:type="dxa"/>
          </w:tcPr>
          <w:p w:rsidR="00AB1B11" w:rsidRDefault="00AB1B11">
            <w:proofErr w:type="spellStart"/>
            <w:r w:rsidRPr="002563FA">
              <w:rPr>
                <w:rFonts w:ascii="Times New Roman" w:hAnsi="Times New Roman" w:cs="Times New Roman"/>
              </w:rPr>
              <w:t>Apple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Pay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3FA">
              <w:rPr>
                <w:rFonts w:ascii="Times New Roman" w:hAnsi="Times New Roman" w:cs="Times New Roman"/>
              </w:rPr>
              <w:t>Google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Pay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3FA">
              <w:rPr>
                <w:rFonts w:ascii="Times New Roman" w:hAnsi="Times New Roman" w:cs="Times New Roman"/>
              </w:rPr>
              <w:t>Samsung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Pay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3FA">
              <w:rPr>
                <w:rFonts w:ascii="Times New Roman" w:hAnsi="Times New Roman" w:cs="Times New Roman"/>
              </w:rPr>
              <w:t>Mi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Pay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3FA">
              <w:rPr>
                <w:rFonts w:ascii="Times New Roman" w:hAnsi="Times New Roman" w:cs="Times New Roman"/>
              </w:rPr>
              <w:t>Huawei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Pay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63FA">
              <w:rPr>
                <w:rFonts w:ascii="Times New Roman" w:hAnsi="Times New Roman" w:cs="Times New Roman"/>
              </w:rPr>
              <w:t>Garmin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Pay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563FA">
              <w:rPr>
                <w:rFonts w:ascii="Times New Roman" w:hAnsi="Times New Roman" w:cs="Times New Roman"/>
              </w:rPr>
              <w:t xml:space="preserve"> в магазинах электронной коммерции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3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 xml:space="preserve">Система должна поддерживать выпуск </w:t>
            </w:r>
            <w:proofErr w:type="spellStart"/>
            <w:r w:rsidRPr="002563FA">
              <w:rPr>
                <w:rFonts w:ascii="Times New Roman" w:hAnsi="Times New Roman" w:cs="Times New Roman"/>
              </w:rPr>
              <w:t>токенизированных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карт в цифровые кошельки</w:t>
            </w:r>
          </w:p>
        </w:tc>
        <w:tc>
          <w:tcPr>
            <w:tcW w:w="2126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в том числе, в OEM-кошельки, методом «</w:t>
            </w:r>
            <w:proofErr w:type="spellStart"/>
            <w:r w:rsidRPr="002563FA">
              <w:rPr>
                <w:rFonts w:ascii="Times New Roman" w:hAnsi="Times New Roman" w:cs="Times New Roman"/>
              </w:rPr>
              <w:t>Push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563FA">
              <w:rPr>
                <w:rFonts w:ascii="Times New Roman" w:hAnsi="Times New Roman" w:cs="Times New Roman"/>
              </w:rPr>
              <w:t>in-app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provisioning</w:t>
            </w:r>
            <w:proofErr w:type="spellEnd"/>
            <w:r w:rsidRPr="002563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4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Поддержка протокола</w:t>
            </w:r>
          </w:p>
        </w:tc>
        <w:tc>
          <w:tcPr>
            <w:tcW w:w="2126" w:type="dxa"/>
          </w:tcPr>
          <w:p w:rsidR="00AB1B11" w:rsidRDefault="00AB1B11">
            <w:proofErr w:type="spellStart"/>
            <w:r w:rsidRPr="002563FA">
              <w:rPr>
                <w:rFonts w:ascii="Times New Roman" w:hAnsi="Times New Roman" w:cs="Times New Roman"/>
              </w:rPr>
              <w:t>Visa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Cloud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Token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Framework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(CTF)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5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 xml:space="preserve">Система должна поддерживать возможность внедрить панель управления </w:t>
            </w:r>
            <w:proofErr w:type="spellStart"/>
            <w:r w:rsidRPr="002563FA">
              <w:rPr>
                <w:rFonts w:ascii="Times New Roman" w:hAnsi="Times New Roman" w:cs="Times New Roman"/>
              </w:rPr>
              <w:t>токенами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в мобильном приложении банка-эмитента</w:t>
            </w:r>
          </w:p>
        </w:tc>
        <w:tc>
          <w:tcPr>
            <w:tcW w:w="2126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 xml:space="preserve">по технологии </w:t>
            </w:r>
            <w:proofErr w:type="spellStart"/>
            <w:r w:rsidRPr="002563FA">
              <w:rPr>
                <w:rFonts w:ascii="Times New Roman" w:hAnsi="Times New Roman" w:cs="Times New Roman"/>
              </w:rPr>
              <w:t>Visa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VCEH и </w:t>
            </w:r>
            <w:proofErr w:type="spellStart"/>
            <w:r w:rsidRPr="002563FA">
              <w:rPr>
                <w:rFonts w:ascii="Times New Roman" w:hAnsi="Times New Roman" w:cs="Times New Roman"/>
              </w:rPr>
              <w:t>Mastercard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Token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Connect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and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Control</w:t>
            </w:r>
            <w:proofErr w:type="spellEnd"/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6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 xml:space="preserve">Возможность управления жизненным циклом </w:t>
            </w:r>
            <w:proofErr w:type="spellStart"/>
            <w:r w:rsidRPr="002563FA">
              <w:rPr>
                <w:rFonts w:ascii="Times New Roman" w:hAnsi="Times New Roman" w:cs="Times New Roman"/>
              </w:rPr>
              <w:t>токенизированных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карт при помощи интерфейсов</w:t>
            </w:r>
          </w:p>
        </w:tc>
        <w:tc>
          <w:tcPr>
            <w:tcW w:w="2126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API и при помощи веб-интерфейса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7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Поддержка платёжных систем</w:t>
            </w:r>
          </w:p>
        </w:tc>
        <w:tc>
          <w:tcPr>
            <w:tcW w:w="2126" w:type="dxa"/>
          </w:tcPr>
          <w:p w:rsidR="00AB1B11" w:rsidRDefault="00AB1B11">
            <w:proofErr w:type="spellStart"/>
            <w:r w:rsidRPr="002563FA">
              <w:rPr>
                <w:rFonts w:ascii="Times New Roman" w:hAnsi="Times New Roman" w:cs="Times New Roman"/>
              </w:rPr>
              <w:t>Mastercard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63FA">
              <w:rPr>
                <w:rFonts w:ascii="Times New Roman" w:hAnsi="Times New Roman" w:cs="Times New Roman"/>
              </w:rPr>
              <w:t>Visa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с помощью единого интерфейса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8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Возможность проведения оплаты без наличия интернета</w:t>
            </w:r>
          </w:p>
        </w:tc>
        <w:tc>
          <w:tcPr>
            <w:tcW w:w="2126" w:type="dxa"/>
          </w:tcPr>
          <w:p w:rsidR="00AB1B11" w:rsidRDefault="00AB1B11">
            <w:r>
              <w:t>Да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9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 xml:space="preserve">Наличие технологии </w:t>
            </w:r>
            <w:proofErr w:type="spellStart"/>
            <w:r w:rsidRPr="002563FA">
              <w:rPr>
                <w:rFonts w:ascii="Times New Roman" w:hAnsi="Times New Roman" w:cs="Times New Roman"/>
              </w:rPr>
              <w:t>Whitebox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cryptography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для защиты платёжных данных на мобильном устройстве</w:t>
            </w:r>
          </w:p>
        </w:tc>
        <w:tc>
          <w:tcPr>
            <w:tcW w:w="2126" w:type="dxa"/>
          </w:tcPr>
          <w:p w:rsidR="00AB1B11" w:rsidRDefault="00AB1B11">
            <w:r>
              <w:t>Да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10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Возможность оплаты без запуска приложения мобильного кошелька</w:t>
            </w:r>
          </w:p>
        </w:tc>
        <w:tc>
          <w:tcPr>
            <w:tcW w:w="2126" w:type="dxa"/>
          </w:tcPr>
          <w:p w:rsidR="00AB1B11" w:rsidRDefault="00AB1B11">
            <w:r>
              <w:t>Да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lastRenderedPageBreak/>
              <w:t>11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Возможность оплаты без ввода ПИН-кода, с использованием биометрической аутентификации</w:t>
            </w:r>
          </w:p>
        </w:tc>
        <w:tc>
          <w:tcPr>
            <w:tcW w:w="2126" w:type="dxa"/>
          </w:tcPr>
          <w:p w:rsidR="00AB1B11" w:rsidRDefault="00AB1B11">
            <w:r>
              <w:t>Да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12</w:t>
            </w:r>
          </w:p>
        </w:tc>
        <w:tc>
          <w:tcPr>
            <w:tcW w:w="2227" w:type="dxa"/>
          </w:tcPr>
          <w:p w:rsidR="00AB1B11" w:rsidRDefault="00AB1B11" w:rsidP="00AB1B11">
            <w:r w:rsidRPr="002563FA">
              <w:rPr>
                <w:rFonts w:ascii="Times New Roman" w:hAnsi="Times New Roman" w:cs="Times New Roman"/>
              </w:rPr>
              <w:t xml:space="preserve">Поддержка телефонов </w:t>
            </w:r>
          </w:p>
        </w:tc>
        <w:tc>
          <w:tcPr>
            <w:tcW w:w="2126" w:type="dxa"/>
          </w:tcPr>
          <w:p w:rsidR="00AB1B11" w:rsidRDefault="00AB1B11">
            <w:proofErr w:type="spellStart"/>
            <w:r w:rsidRPr="002563FA">
              <w:rPr>
                <w:rFonts w:ascii="Times New Roman" w:hAnsi="Times New Roman" w:cs="Times New Roman"/>
              </w:rPr>
              <w:t>Huawei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563FA">
              <w:rPr>
                <w:rFonts w:ascii="Times New Roman" w:hAnsi="Times New Roman" w:cs="Times New Roman"/>
              </w:rPr>
              <w:t>Honor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с возможностью работы без наличия </w:t>
            </w:r>
            <w:proofErr w:type="spellStart"/>
            <w:r w:rsidRPr="002563FA">
              <w:rPr>
                <w:rFonts w:ascii="Times New Roman" w:hAnsi="Times New Roman" w:cs="Times New Roman"/>
              </w:rPr>
              <w:t>Google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63FA">
              <w:rPr>
                <w:rFonts w:ascii="Times New Roman" w:hAnsi="Times New Roman" w:cs="Times New Roman"/>
              </w:rPr>
              <w:t>Services</w:t>
            </w:r>
            <w:proofErr w:type="spellEnd"/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13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 xml:space="preserve">Предоставляемое решение должно обеспечивать процесс </w:t>
            </w:r>
            <w:proofErr w:type="spellStart"/>
            <w:r w:rsidRPr="002563FA">
              <w:rPr>
                <w:rFonts w:ascii="Times New Roman" w:hAnsi="Times New Roman" w:cs="Times New Roman"/>
              </w:rPr>
              <w:t>токенизации</w:t>
            </w:r>
            <w:proofErr w:type="spellEnd"/>
            <w:r w:rsidRPr="002563FA">
              <w:rPr>
                <w:rFonts w:ascii="Times New Roman" w:hAnsi="Times New Roman" w:cs="Times New Roman"/>
              </w:rPr>
              <w:t xml:space="preserve"> при помощи дополнительной проверки пользователя (СМС-коды или </w:t>
            </w:r>
            <w:proofErr w:type="spellStart"/>
            <w:r w:rsidRPr="002563FA">
              <w:rPr>
                <w:rFonts w:ascii="Times New Roman" w:hAnsi="Times New Roman" w:cs="Times New Roman"/>
              </w:rPr>
              <w:t>колл</w:t>
            </w:r>
            <w:proofErr w:type="spellEnd"/>
            <w:r w:rsidRPr="002563FA">
              <w:rPr>
                <w:rFonts w:ascii="Times New Roman" w:hAnsi="Times New Roman" w:cs="Times New Roman"/>
              </w:rPr>
              <w:t>-центр) или без такой проверки – для пользователей, которые идентифицированы в приложении банка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14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Предоставляемое решение не должно приводить к необходимости расширения инфраструктуры банка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15</w:t>
            </w:r>
          </w:p>
        </w:tc>
        <w:tc>
          <w:tcPr>
            <w:tcW w:w="2227" w:type="dxa"/>
          </w:tcPr>
          <w:p w:rsidR="00AB1B11" w:rsidRDefault="00AB1B11">
            <w:r w:rsidRPr="002563FA">
              <w:rPr>
                <w:rFonts w:ascii="Times New Roman" w:hAnsi="Times New Roman" w:cs="Times New Roman"/>
              </w:rPr>
              <w:t>Предоставляемое решение должно соответствовать последним актуальным спецификациям платёжных систем и функционировать на технологии интерфейсов API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16</w:t>
            </w:r>
          </w:p>
        </w:tc>
        <w:tc>
          <w:tcPr>
            <w:tcW w:w="2227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>Включение в список программного обеспечения Узбекистана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17</w:t>
            </w:r>
          </w:p>
        </w:tc>
        <w:tc>
          <w:tcPr>
            <w:tcW w:w="2227" w:type="dxa"/>
          </w:tcPr>
          <w:p w:rsidR="00AB1B11" w:rsidRDefault="00AB1B11" w:rsidP="00AB1B11">
            <w:r w:rsidRPr="008E5B24">
              <w:rPr>
                <w:rFonts w:ascii="Times New Roman" w:hAnsi="Times New Roman" w:cs="Times New Roman"/>
              </w:rPr>
              <w:t xml:space="preserve">Сертификация </w:t>
            </w:r>
          </w:p>
        </w:tc>
        <w:tc>
          <w:tcPr>
            <w:tcW w:w="2126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 xml:space="preserve">в соответствии с требованиями не ниже </w:t>
            </w:r>
            <w:proofErr w:type="spellStart"/>
            <w:r w:rsidRPr="008E5B24">
              <w:rPr>
                <w:rFonts w:ascii="Times New Roman" w:hAnsi="Times New Roman" w:cs="Times New Roman"/>
              </w:rPr>
              <w:t>Mastercard</w:t>
            </w:r>
            <w:proofErr w:type="spellEnd"/>
            <w:r w:rsidRPr="008E5B24">
              <w:rPr>
                <w:rFonts w:ascii="Times New Roman" w:hAnsi="Times New Roman" w:cs="Times New Roman"/>
              </w:rPr>
              <w:t xml:space="preserve"> MCBP 2.1 и </w:t>
            </w:r>
            <w:proofErr w:type="spellStart"/>
            <w:r w:rsidRPr="008E5B24">
              <w:rPr>
                <w:rFonts w:ascii="Times New Roman" w:hAnsi="Times New Roman" w:cs="Times New Roman"/>
              </w:rPr>
              <w:t>Visa</w:t>
            </w:r>
            <w:proofErr w:type="spellEnd"/>
            <w:r w:rsidRPr="008E5B24">
              <w:rPr>
                <w:rFonts w:ascii="Times New Roman" w:hAnsi="Times New Roman" w:cs="Times New Roman"/>
              </w:rPr>
              <w:t xml:space="preserve"> VCPCS 1.8.1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18</w:t>
            </w:r>
          </w:p>
        </w:tc>
        <w:tc>
          <w:tcPr>
            <w:tcW w:w="2227" w:type="dxa"/>
          </w:tcPr>
          <w:p w:rsidR="00AB1B11" w:rsidRDefault="00AB1B11" w:rsidP="00AB1B11">
            <w:r w:rsidRPr="008E5B24">
              <w:rPr>
                <w:rFonts w:ascii="Times New Roman" w:hAnsi="Times New Roman" w:cs="Times New Roman"/>
              </w:rPr>
              <w:t xml:space="preserve">Сертификация </w:t>
            </w:r>
          </w:p>
        </w:tc>
        <w:tc>
          <w:tcPr>
            <w:tcW w:w="2126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>ISO 27001 и PCI-DSS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19</w:t>
            </w:r>
          </w:p>
        </w:tc>
        <w:tc>
          <w:tcPr>
            <w:tcW w:w="2227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 xml:space="preserve">Поставщик должен обеспечить своевременное продление сертификации </w:t>
            </w:r>
            <w:r w:rsidRPr="008E5B24">
              <w:rPr>
                <w:rFonts w:ascii="Times New Roman" w:hAnsi="Times New Roman" w:cs="Times New Roman"/>
              </w:rPr>
              <w:lastRenderedPageBreak/>
              <w:t>системы своими силами и за свой счёт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lastRenderedPageBreak/>
              <w:t>20</w:t>
            </w:r>
          </w:p>
        </w:tc>
        <w:tc>
          <w:tcPr>
            <w:tcW w:w="2227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>Возможность предоставления поддержки на узбекском, русском и английском языках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21</w:t>
            </w:r>
          </w:p>
        </w:tc>
        <w:tc>
          <w:tcPr>
            <w:tcW w:w="2227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>Наличие сотрудников службы поддержки на территории Республики Узбекистан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22</w:t>
            </w:r>
          </w:p>
        </w:tc>
        <w:tc>
          <w:tcPr>
            <w:tcW w:w="2227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>Доступность поддержки в режиме 24/7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23</w:t>
            </w:r>
          </w:p>
        </w:tc>
        <w:tc>
          <w:tcPr>
            <w:tcW w:w="2227" w:type="dxa"/>
          </w:tcPr>
          <w:p w:rsidR="00AB1B11" w:rsidRDefault="00AB1B11" w:rsidP="00AB1B11">
            <w:r w:rsidRPr="008E5B24">
              <w:rPr>
                <w:rFonts w:ascii="Times New Roman" w:hAnsi="Times New Roman" w:cs="Times New Roman"/>
              </w:rPr>
              <w:t xml:space="preserve">Минимальное время реагирования на критические инциденты – </w:t>
            </w:r>
          </w:p>
        </w:tc>
        <w:tc>
          <w:tcPr>
            <w:tcW w:w="2126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>2 часа, предоставления первого (временного) решения – 24 часа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24</w:t>
            </w:r>
          </w:p>
        </w:tc>
        <w:tc>
          <w:tcPr>
            <w:tcW w:w="2227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>Предоставление обновлений решения в соответствии с требованиями платёжных систем, без дополнительной оплаты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25</w:t>
            </w:r>
          </w:p>
        </w:tc>
        <w:tc>
          <w:tcPr>
            <w:tcW w:w="2227" w:type="dxa"/>
          </w:tcPr>
          <w:p w:rsidR="00AB1B11" w:rsidRDefault="00AB1B11">
            <w:r w:rsidRPr="008E5B24">
              <w:rPr>
                <w:rFonts w:ascii="Times New Roman" w:hAnsi="Times New Roman" w:cs="Times New Roman"/>
              </w:rPr>
              <w:t>Предоставленное решение должно обеспечивать отказоустойчивость на уровне не ниже 99,9% в годовом исчислении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26</w:t>
            </w:r>
          </w:p>
        </w:tc>
        <w:tc>
          <w:tcPr>
            <w:tcW w:w="2227" w:type="dxa"/>
          </w:tcPr>
          <w:p w:rsidR="00AB1B11" w:rsidRPr="00AB1B11" w:rsidRDefault="00AB1B11" w:rsidP="00AB1B11">
            <w:pPr>
              <w:tabs>
                <w:tab w:val="left" w:pos="993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AB1B11">
              <w:rPr>
                <w:rFonts w:ascii="Times New Roman" w:hAnsi="Times New Roman" w:cs="Times New Roman"/>
              </w:rPr>
              <w:t>Срок реализации проекта:</w:t>
            </w:r>
          </w:p>
          <w:p w:rsidR="00AB1B11" w:rsidRDefault="00AB1B11" w:rsidP="00AB1B11"/>
        </w:tc>
        <w:tc>
          <w:tcPr>
            <w:tcW w:w="2126" w:type="dxa"/>
          </w:tcPr>
          <w:p w:rsidR="00AB1B11" w:rsidRPr="00AB1B11" w:rsidRDefault="00AB1B11" w:rsidP="00AB1B11">
            <w:pPr>
              <w:spacing w:line="264" w:lineRule="auto"/>
              <w:ind w:left="12"/>
              <w:jc w:val="both"/>
              <w:rPr>
                <w:rFonts w:ascii="Times New Roman" w:hAnsi="Times New Roman" w:cs="Times New Roman"/>
              </w:rPr>
            </w:pPr>
            <w:r w:rsidRPr="00AB1B11">
              <w:rPr>
                <w:rFonts w:ascii="Times New Roman" w:hAnsi="Times New Roman" w:cs="Times New Roman"/>
              </w:rPr>
              <w:t>подключение банка к платформе VTS/MDES - 2 месяца;</w:t>
            </w:r>
          </w:p>
          <w:p w:rsidR="00AB1B11" w:rsidRDefault="00AB1B11" w:rsidP="00AB1B11">
            <w:r w:rsidRPr="002063ED">
              <w:rPr>
                <w:rFonts w:ascii="Times New Roman" w:hAnsi="Times New Roman" w:cs="Times New Roman"/>
              </w:rPr>
              <w:t xml:space="preserve">внедрение </w:t>
            </w:r>
            <w:proofErr w:type="spellStart"/>
            <w:r w:rsidRPr="002063ED">
              <w:rPr>
                <w:rFonts w:ascii="Times New Roman" w:hAnsi="Times New Roman" w:cs="Times New Roman"/>
              </w:rPr>
              <w:t>эмитентского</w:t>
            </w:r>
            <w:proofErr w:type="spellEnd"/>
            <w:r w:rsidRPr="002063ED">
              <w:rPr>
                <w:rFonts w:ascii="Times New Roman" w:hAnsi="Times New Roman" w:cs="Times New Roman"/>
              </w:rPr>
              <w:t xml:space="preserve"> кошелька для одн</w:t>
            </w:r>
            <w:r>
              <w:rPr>
                <w:rFonts w:ascii="Times New Roman" w:hAnsi="Times New Roman" w:cs="Times New Roman"/>
              </w:rPr>
              <w:t>ой платёжной системы – 4 месяца</w:t>
            </w:r>
          </w:p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t>27</w:t>
            </w:r>
          </w:p>
        </w:tc>
        <w:tc>
          <w:tcPr>
            <w:tcW w:w="2227" w:type="dxa"/>
          </w:tcPr>
          <w:p w:rsidR="00AB1B11" w:rsidRDefault="00AB1B11">
            <w:r w:rsidRPr="00AB1B11">
              <w:t>Предоставление поддержки разработчиком мобильного приложения банка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 w:rsidP="00AB1B11">
            <w:r>
              <w:t>28</w:t>
            </w:r>
          </w:p>
        </w:tc>
        <w:tc>
          <w:tcPr>
            <w:tcW w:w="2227" w:type="dxa"/>
          </w:tcPr>
          <w:p w:rsidR="00AB1B11" w:rsidRDefault="00AB1B11">
            <w:r w:rsidRPr="00AB1B11">
              <w:t>Сопровождение и консультирование банка при взаимодействии с платёжными системами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  <w:tr w:rsidR="00AB1B11" w:rsidTr="00AB1B11">
        <w:tc>
          <w:tcPr>
            <w:tcW w:w="462" w:type="dxa"/>
          </w:tcPr>
          <w:p w:rsidR="00AB1B11" w:rsidRDefault="00AB1B11">
            <w:r>
              <w:lastRenderedPageBreak/>
              <w:t>29</w:t>
            </w:r>
          </w:p>
        </w:tc>
        <w:tc>
          <w:tcPr>
            <w:tcW w:w="2227" w:type="dxa"/>
          </w:tcPr>
          <w:p w:rsidR="00AB1B11" w:rsidRDefault="00AB1B11">
            <w:r w:rsidRPr="00AB1B11">
              <w:t>Возможность предварительного тестирования функционала предоставляемого решения без привлечения платёжных систем, включая предоставление интеграционной «песочницы» с эмуляцией эмитента и/или мобильного кошелька и/или платёжной системы</w:t>
            </w:r>
          </w:p>
        </w:tc>
        <w:tc>
          <w:tcPr>
            <w:tcW w:w="2126" w:type="dxa"/>
          </w:tcPr>
          <w:p w:rsidR="00AB1B11" w:rsidRDefault="00AB1B11"/>
        </w:tc>
        <w:tc>
          <w:tcPr>
            <w:tcW w:w="2278" w:type="dxa"/>
          </w:tcPr>
          <w:p w:rsidR="00AB1B11" w:rsidRDefault="00AB1B11"/>
        </w:tc>
        <w:tc>
          <w:tcPr>
            <w:tcW w:w="2252" w:type="dxa"/>
          </w:tcPr>
          <w:p w:rsidR="00AB1B11" w:rsidRDefault="00AB1B11"/>
        </w:tc>
      </w:tr>
    </w:tbl>
    <w:p w:rsidR="00FB6B37" w:rsidRDefault="00AB1B11"/>
    <w:sectPr w:rsidR="00F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051F4"/>
    <w:multiLevelType w:val="hybridMultilevel"/>
    <w:tmpl w:val="53E28A9A"/>
    <w:lvl w:ilvl="0" w:tplc="C8B42C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01EBF"/>
    <w:multiLevelType w:val="hybridMultilevel"/>
    <w:tmpl w:val="8556D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11"/>
    <w:rsid w:val="00AB1B11"/>
    <w:rsid w:val="00BF07D0"/>
    <w:rsid w:val="00C2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A20F1-7168-4D60-8F06-24846ABD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evel 1,AB List 1,Bullet Points,ProcessA,Elenco Normale"/>
    <w:basedOn w:val="a"/>
    <w:link w:val="a5"/>
    <w:uiPriority w:val="34"/>
    <w:qFormat/>
    <w:rsid w:val="00AB1B11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Bullet Level 1 Знак,AB List 1 Знак,Bullet Points Знак,ProcessA Знак,Elenco Normale Знак"/>
    <w:basedOn w:val="a0"/>
    <w:link w:val="a4"/>
    <w:uiPriority w:val="34"/>
    <w:qFormat/>
    <w:locked/>
    <w:rsid w:val="00AB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Dilshod Tolibov</cp:lastModifiedBy>
  <cp:revision>1</cp:revision>
  <dcterms:created xsi:type="dcterms:W3CDTF">2022-06-13T07:32:00Z</dcterms:created>
  <dcterms:modified xsi:type="dcterms:W3CDTF">2022-06-13T07:47:00Z</dcterms:modified>
</cp:coreProperties>
</file>