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339"/>
        <w:gridCol w:w="2095"/>
        <w:gridCol w:w="1809"/>
      </w:tblGrid>
      <w:tr w:rsidR="009F2074" w:rsidRPr="00023E3E" w:rsidTr="00D173F0">
        <w:trPr>
          <w:trHeight w:val="333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NAME OF THE ISSUER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Full company name: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“KAPITALBANK” Joint Stock Commercial Bank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Short company name: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“KAPITALBANK” JSCB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 xml:space="preserve">Name of ticker symbol: </w:t>
            </w:r>
            <w:hyperlink r:id="rId4" w:history="1">
              <w:r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KPB</w:t>
            </w:r>
          </w:p>
        </w:tc>
      </w:tr>
      <w:tr w:rsidR="009F2074" w:rsidRPr="00023E3E" w:rsidTr="00D173F0">
        <w:trPr>
          <w:trHeight w:val="304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CONTACT INFORMATION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7  </w:t>
            </w:r>
            <w:proofErr w:type="spellStart"/>
            <w:r>
              <w:rPr>
                <w:sz w:val="20"/>
                <w:szCs w:val="18"/>
              </w:rPr>
              <w:t>Sayilgoh</w:t>
            </w:r>
            <w:proofErr w:type="spellEnd"/>
            <w:r>
              <w:rPr>
                <w:sz w:val="20"/>
                <w:szCs w:val="18"/>
              </w:rPr>
              <w:t xml:space="preserve"> street, </w:t>
            </w:r>
            <w:proofErr w:type="spellStart"/>
            <w:r>
              <w:rPr>
                <w:sz w:val="20"/>
                <w:szCs w:val="18"/>
              </w:rPr>
              <w:t>Yunusabad</w:t>
            </w:r>
            <w:proofErr w:type="spellEnd"/>
            <w:r>
              <w:rPr>
                <w:sz w:val="20"/>
                <w:szCs w:val="18"/>
              </w:rPr>
              <w:t xml:space="preserve"> district, Tashkent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Postal address: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7  </w:t>
            </w:r>
            <w:proofErr w:type="spellStart"/>
            <w:r>
              <w:rPr>
                <w:sz w:val="20"/>
                <w:szCs w:val="18"/>
              </w:rPr>
              <w:t>Sayilgoh</w:t>
            </w:r>
            <w:proofErr w:type="spellEnd"/>
            <w:r>
              <w:rPr>
                <w:sz w:val="20"/>
                <w:szCs w:val="18"/>
              </w:rPr>
              <w:t xml:space="preserve"> street, </w:t>
            </w:r>
            <w:proofErr w:type="spellStart"/>
            <w:r>
              <w:rPr>
                <w:sz w:val="20"/>
                <w:szCs w:val="18"/>
              </w:rPr>
              <w:t>Yunusabad</w:t>
            </w:r>
            <w:proofErr w:type="spellEnd"/>
            <w:r>
              <w:rPr>
                <w:sz w:val="20"/>
                <w:szCs w:val="18"/>
              </w:rPr>
              <w:t xml:space="preserve"> district, Tashkent, 100047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E-mail:</w:t>
            </w:r>
            <w:hyperlink r:id="rId5" w:history="1">
              <w:r>
                <w:rPr>
                  <w:rStyle w:val="a3"/>
                  <w:color w:val="008080"/>
                  <w:sz w:val="20"/>
                  <w:szCs w:val="20"/>
                  <w:u w:val="none"/>
                </w:rPr>
                <w:t xml:space="preserve"> *</w:t>
              </w:r>
            </w:hyperlink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info@kapitalbank.uz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Official web-site:</w:t>
            </w:r>
            <w:hyperlink r:id="rId6" w:history="1">
              <w:r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www.kapitalbank.uz</w:t>
            </w:r>
          </w:p>
        </w:tc>
      </w:tr>
      <w:tr w:rsidR="009F2074" w:rsidRPr="00023E3E" w:rsidTr="00D173F0">
        <w:trPr>
          <w:trHeight w:val="319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MATERIAL EVENTS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Material event number: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sz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Material event name: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9F2074" w:rsidP="00D173F0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Accrual of yield on securities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color w:val="000000"/>
                <w:sz w:val="20"/>
                <w:szCs w:val="20"/>
              </w:rPr>
              <w:t>Body of issuer that made a decision: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E44937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Council of the Bank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color w:val="000000"/>
                <w:sz w:val="20"/>
                <w:szCs w:val="20"/>
              </w:rPr>
              <w:t>Date of the decision: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E44937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9/4/2009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color w:val="000000"/>
                <w:sz w:val="20"/>
                <w:szCs w:val="20"/>
              </w:rPr>
              <w:t>Date of drafting of Minutes of Meeting of Issuer: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1C52C3" w:rsidRDefault="00E44937" w:rsidP="00D173F0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18"/>
              </w:rPr>
              <w:t>9/4/2009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4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pPr>
              <w:rPr>
                <w:b/>
              </w:rPr>
            </w:pPr>
            <w:r>
              <w:rPr>
                <w:b/>
              </w:rPr>
              <w:t>Distribution of dividends on common shares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UZS, per one share: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percent to nominal value per one share: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4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E44937">
            <w:r>
              <w:rPr>
                <w:b/>
              </w:rPr>
              <w:t>Distribution of dividends on preferred shares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</w:rPr>
              <w:t xml:space="preserve"> 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UZS, per one share: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percent to nominal value per one share: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4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A18F4">
            <w:pPr>
              <w:rPr>
                <w:b/>
              </w:rPr>
            </w:pPr>
            <w:r>
              <w:rPr>
                <w:b/>
              </w:rPr>
              <w:t>Accrual of yield on other securities</w:t>
            </w:r>
            <w:hyperlink r:id="rId7" w:history="1">
              <w:r>
                <w:rPr>
                  <w:rStyle w:val="a3"/>
                  <w:b/>
                  <w:color w:val="008080"/>
                  <w:sz w:val="20"/>
                  <w:szCs w:val="20"/>
                  <w:u w:val="none"/>
                </w:rPr>
                <w:t>*</w:t>
              </w:r>
            </w:hyperlink>
            <w:r>
              <w:rPr>
                <w:b/>
              </w:rPr>
              <w:t xml:space="preserve"> </w:t>
            </w:r>
            <w:r>
              <w:t xml:space="preserve">interest </w:t>
            </w:r>
            <w:r>
              <w:tab/>
            </w:r>
            <w:r w:rsidRPr="00DA18F4">
              <w:rPr>
                <w:sz w:val="20"/>
                <w:szCs w:val="20"/>
              </w:rPr>
              <w:t>subordinated bonds of second issue No.P0804-2  d</w:t>
            </w:r>
            <w:r w:rsidR="00DA18F4" w:rsidRPr="00DA18F4">
              <w:rPr>
                <w:sz w:val="20"/>
                <w:szCs w:val="20"/>
              </w:rPr>
              <w:t xml:space="preserve">ated </w:t>
            </w:r>
            <w:r w:rsidRPr="00DA18F4">
              <w:rPr>
                <w:sz w:val="20"/>
                <w:szCs w:val="20"/>
              </w:rPr>
              <w:t>October 23, 2009</w:t>
            </w:r>
            <w:bookmarkStart w:id="0" w:name="_GoBack"/>
            <w:bookmarkEnd w:id="0"/>
          </w:p>
        </w:tc>
      </w:tr>
      <w:tr w:rsidR="009F2074" w:rsidRPr="00023E3E" w:rsidTr="00E449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UZS, per one security: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E44937" w:rsidP="001D6DD1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39,890 UZS</w:t>
            </w:r>
          </w:p>
        </w:tc>
      </w:tr>
      <w:tr w:rsidR="009F2074" w:rsidRPr="00023E3E" w:rsidTr="00E449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/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in percent to nominal value per security: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E44937" w:rsidP="001D6DD1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3.99%</w:t>
            </w:r>
          </w:p>
        </w:tc>
      </w:tr>
      <w:tr w:rsidR="009F2074" w:rsidRPr="00023E3E" w:rsidTr="00D173F0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color w:val="000000"/>
                <w:sz w:val="20"/>
                <w:szCs w:val="20"/>
              </w:rPr>
              <w:t>Start and end dates of yield payment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074" w:rsidRPr="00023E3E" w:rsidRDefault="009F2074" w:rsidP="00D173F0">
            <w:pPr>
              <w:jc w:val="center"/>
            </w:pPr>
            <w:r>
              <w:rPr>
                <w:color w:val="000000"/>
                <w:sz w:val="20"/>
                <w:szCs w:val="20"/>
              </w:rPr>
              <w:t>End date</w:t>
            </w: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on common shares: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on preferred shares: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074" w:rsidRPr="00023E3E" w:rsidTr="00D173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sz w:val="20"/>
                <w:szCs w:val="20"/>
              </w:rPr>
              <w:t>on other securities: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2074" w:rsidRPr="00023E3E" w:rsidRDefault="00E44937" w:rsidP="001D6DD1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7/1/2019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E44937" w:rsidP="001D6DD1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7/4/2019</w:t>
            </w:r>
          </w:p>
        </w:tc>
      </w:tr>
      <w:tr w:rsidR="009F2074" w:rsidRPr="00023E3E" w:rsidTr="00E449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074" w:rsidRPr="00023E3E" w:rsidRDefault="009F2074" w:rsidP="00D1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74" w:rsidRPr="00023E3E" w:rsidRDefault="009F2074" w:rsidP="00D173F0">
            <w:r>
              <w:rPr>
                <w:color w:val="000000"/>
                <w:sz w:val="20"/>
                <w:szCs w:val="20"/>
              </w:rPr>
              <w:t xml:space="preserve">Form of payment of  yield accrued </w:t>
            </w:r>
            <w:r>
              <w:rPr>
                <w:color w:val="000000"/>
                <w:sz w:val="20"/>
                <w:szCs w:val="20"/>
              </w:rPr>
              <w:br/>
              <w:t>(monetary funds, other property):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2074" w:rsidRPr="00023E3E" w:rsidRDefault="00E44937" w:rsidP="007072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Monetary funds</w:t>
            </w:r>
          </w:p>
        </w:tc>
      </w:tr>
    </w:tbl>
    <w:p w:rsidR="00327E8D" w:rsidRPr="00023E3E" w:rsidRDefault="00327E8D"/>
    <w:p w:rsidR="009F2074" w:rsidRPr="00023E3E" w:rsidRDefault="009F2074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F2074" w:rsidRPr="00023E3E" w:rsidTr="00D173F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F2074" w:rsidRPr="00023E3E" w:rsidRDefault="00D7790D" w:rsidP="00D173F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the executive body: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2074" w:rsidRPr="001D6DD1" w:rsidRDefault="001D6DD1" w:rsidP="00BE67F3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 Oleg </w:t>
            </w:r>
            <w:proofErr w:type="spellStart"/>
            <w:r>
              <w:rPr>
                <w:sz w:val="20"/>
                <w:szCs w:val="20"/>
              </w:rPr>
              <w:t>Romoaldovich</w:t>
            </w:r>
            <w:proofErr w:type="spellEnd"/>
          </w:p>
        </w:tc>
      </w:tr>
    </w:tbl>
    <w:p w:rsidR="009F2074" w:rsidRPr="00BE67F3" w:rsidRDefault="009F2074" w:rsidP="009F2074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F2074" w:rsidRPr="00023E3E" w:rsidTr="00D173F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F2074" w:rsidRPr="00023E3E" w:rsidRDefault="00D7790D" w:rsidP="00D173F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Chief Accountant: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2074" w:rsidRPr="00023E3E" w:rsidRDefault="009F2074" w:rsidP="001D6DD1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>
              <w:rPr>
                <w:sz w:val="20"/>
                <w:szCs w:val="20"/>
              </w:rPr>
              <w:t>Allayorova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Dilrabo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Normamatovna</w:t>
            </w:r>
            <w:proofErr w:type="spellEnd"/>
          </w:p>
        </w:tc>
      </w:tr>
    </w:tbl>
    <w:p w:rsidR="009F2074" w:rsidRPr="00023E3E" w:rsidRDefault="009F2074" w:rsidP="009F2074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F2074" w:rsidRPr="006B0E05" w:rsidTr="003A215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F2074" w:rsidRPr="00023E3E" w:rsidRDefault="00D7790D" w:rsidP="00D173F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person, who placed the information on the web-site: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074" w:rsidRPr="006B0E05" w:rsidRDefault="009F2074" w:rsidP="00BE67F3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proofErr w:type="spellStart"/>
            <w:r>
              <w:rPr>
                <w:sz w:val="20"/>
                <w:szCs w:val="20"/>
              </w:rPr>
              <w:t>Amanova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Nargiza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Alisherovna</w:t>
            </w:r>
            <w:proofErr w:type="spellEnd"/>
          </w:p>
        </w:tc>
      </w:tr>
    </w:tbl>
    <w:p w:rsidR="009F2074" w:rsidRDefault="009F2074"/>
    <w:sectPr w:rsidR="009F2074" w:rsidSect="0032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074"/>
    <w:rsid w:val="00017F1A"/>
    <w:rsid w:val="00023E3E"/>
    <w:rsid w:val="00147B07"/>
    <w:rsid w:val="00172250"/>
    <w:rsid w:val="001A32D8"/>
    <w:rsid w:val="001B2D05"/>
    <w:rsid w:val="001C52C3"/>
    <w:rsid w:val="001D6DD1"/>
    <w:rsid w:val="00314E3C"/>
    <w:rsid w:val="00327E8D"/>
    <w:rsid w:val="00395E69"/>
    <w:rsid w:val="003A215B"/>
    <w:rsid w:val="003B2B8C"/>
    <w:rsid w:val="004B5C8A"/>
    <w:rsid w:val="005D4F14"/>
    <w:rsid w:val="007072C4"/>
    <w:rsid w:val="00891C83"/>
    <w:rsid w:val="009159F5"/>
    <w:rsid w:val="009168AD"/>
    <w:rsid w:val="009F2074"/>
    <w:rsid w:val="00B07B03"/>
    <w:rsid w:val="00B55B94"/>
    <w:rsid w:val="00BE67F3"/>
    <w:rsid w:val="00D40F19"/>
    <w:rsid w:val="00D7790D"/>
    <w:rsid w:val="00D91D57"/>
    <w:rsid w:val="00DA18F4"/>
    <w:rsid w:val="00E44937"/>
    <w:rsid w:val="00E71AA8"/>
    <w:rsid w:val="00F82C9E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1910"/>
  <w15:docId w15:val="{722B2E8A-6637-4428-AE36-9D9AD53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4"/>
    <w:pPr>
      <w:spacing w:line="240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248207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2070)" TargetMode="External"/><Relationship Id="rId5" Type="http://schemas.openxmlformats.org/officeDocument/2006/relationships/hyperlink" Target="javascript:scrollText(2482070)" TargetMode="External"/><Relationship Id="rId4" Type="http://schemas.openxmlformats.org/officeDocument/2006/relationships/hyperlink" Target="javascript:scrollText(248207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1526</Characters>
  <Application>Microsoft Office Word</Application>
  <DocSecurity>0</DocSecurity>
  <Lines>12</Lines>
  <Paragraphs>3</Paragraphs>
  <ScaleCrop>false</ScaleCrop>
  <Company>Kapitalbank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ilyos.solimuhammedov</dc:creator>
  <cp:keywords/>
  <dc:description/>
  <cp:lastModifiedBy>Translator</cp:lastModifiedBy>
  <cp:revision>14</cp:revision>
  <dcterms:created xsi:type="dcterms:W3CDTF">2018-07-02T04:33:00Z</dcterms:created>
  <dcterms:modified xsi:type="dcterms:W3CDTF">2019-07-15T07:24:00Z</dcterms:modified>
</cp:coreProperties>
</file>